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5A61F2A9" w:rsidR="00FF22A5" w:rsidRDefault="001E0029" w:rsidP="00FF22A5">
      <w:pPr>
        <w:jc w:val="both"/>
        <w:rPr>
          <w:rStyle w:val="BLOCKBOLD"/>
          <w:rFonts w:ascii="Calibri" w:hAnsi="Calibri"/>
        </w:rPr>
      </w:pPr>
      <w:r w:rsidRPr="001E0029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1E0029">
        <w:rPr>
          <w:rStyle w:val="BLOCKBOLD"/>
          <w:rFonts w:ascii="Calibri" w:hAnsi="Calibri"/>
        </w:rPr>
        <w:t>comma 6 d.lgs. 50/2016)</w:t>
      </w:r>
      <w:r>
        <w:rPr>
          <w:rStyle w:val="BLOCKBOLD"/>
          <w:rFonts w:ascii="Calibri" w:hAnsi="Calibri"/>
        </w:rPr>
        <w:t xml:space="preserve"> per la </w:t>
      </w:r>
      <w:r w:rsidRPr="001E0029">
        <w:rPr>
          <w:rStyle w:val="BLOCKBOLD"/>
          <w:rFonts w:ascii="Calibri" w:hAnsi="Calibri"/>
        </w:rPr>
        <w:t xml:space="preserve">Fornitura di accessi e licenze d’uso relative piattaforma Proofpoint Security Awareness per 12 mesi 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6756A2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1E002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1E0029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2022-11-21T16:08:00Z</dcterms:modified>
</cp:coreProperties>
</file>